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BFA1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baseline"/>
        <w:rPr>
          <w:rFonts w:ascii="黑体" w:hAnsi="黑体" w:eastAsia="黑体" w:cs="仿宋_GB2312"/>
          <w:bCs/>
          <w:color w:val="222222"/>
          <w:spacing w:val="11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222222"/>
          <w:spacing w:val="11"/>
          <w:sz w:val="32"/>
          <w:szCs w:val="32"/>
        </w:rPr>
        <w:t>附件1</w:t>
      </w:r>
    </w:p>
    <w:p w14:paraId="2D6D74E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after="120"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“健康家庭”典型案例征集方案</w:t>
      </w:r>
    </w:p>
    <w:p w14:paraId="154F6479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黑体" w:hAnsi="黑体" w:eastAsia="黑体" w:cs="黑体"/>
          <w:color w:val="222222"/>
          <w:sz w:val="32"/>
          <w:szCs w:val="32"/>
          <w:lang w:eastAsia="zh-CN"/>
        </w:rPr>
      </w:pPr>
    </w:p>
    <w:p w14:paraId="150A68FF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黑体" w:hAnsi="黑体" w:eastAsia="黑体" w:cs="黑体"/>
          <w:color w:val="22222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eastAsia="zh-CN"/>
        </w:rPr>
        <w:t>一、活动背景</w:t>
      </w:r>
    </w:p>
    <w:p w14:paraId="1F4061BC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仿宋_GB2312" w:hAnsi="PingFangSC-light" w:eastAsia="仿宋_GB2312"/>
          <w:color w:val="222222"/>
          <w:sz w:val="32"/>
          <w:szCs w:val="32"/>
        </w:rPr>
      </w:pPr>
      <w:r>
        <w:rPr>
          <w:rFonts w:hint="eastAsia" w:ascii="仿宋_GB2312" w:hAnsi="PingFangSC-light" w:eastAsia="仿宋_GB2312"/>
          <w:color w:val="222222"/>
          <w:sz w:val="32"/>
          <w:szCs w:val="32"/>
        </w:rPr>
        <w:t>根据国家卫生健康委办公厅、全国爱卫办、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中国计生协办公室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等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val="en-US" w:eastAsia="zh-CN"/>
        </w:rPr>
        <w:t>8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部门《关于全面开展健康家庭建设的通知》，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val="en-US" w:eastAsia="zh-CN"/>
        </w:rPr>
        <w:t>以及国家卫生健康委办公厅印发的《中国公民健康素养—基本知识与技能（2024年版）》，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在全国范围内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开展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“健康家庭”典型案例征集活动。活动旨在弘扬中华传统美德，传播健康家庭文化，推广健康生活方式，进而提升全民健康水平。通过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培树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健康家庭典范，发挥其在社会中的引领和示范作用，推进健康家庭建设高质量发展，以健康家庭夯实健康中国之基。</w:t>
      </w:r>
    </w:p>
    <w:p w14:paraId="29B625DD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黑体" w:hAnsi="黑体" w:eastAsia="黑体" w:cs="黑体"/>
          <w:color w:val="22222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222222"/>
          <w:sz w:val="32"/>
          <w:szCs w:val="32"/>
          <w:lang w:eastAsia="zh-CN"/>
        </w:rPr>
        <w:t>、征集范围和内容</w:t>
      </w:r>
    </w:p>
    <w:p w14:paraId="7B90ED20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仿宋_GB2312" w:hAnsi="PingFangSC-light" w:eastAsia="仿宋_GB2312"/>
          <w:b w:val="0"/>
          <w:bCs w:val="0"/>
          <w:color w:val="222222"/>
          <w:sz w:val="32"/>
          <w:szCs w:val="32"/>
          <w:lang w:eastAsia="zh-CN"/>
        </w:rPr>
      </w:pPr>
      <w:r>
        <w:rPr>
          <w:rFonts w:hint="eastAsia" w:ascii="仿宋_GB2312" w:hAnsi="PingFangSC-light" w:eastAsia="仿宋_GB2312"/>
          <w:b w:val="0"/>
          <w:bCs w:val="0"/>
          <w:color w:val="222222"/>
          <w:sz w:val="32"/>
          <w:szCs w:val="32"/>
          <w:lang w:eastAsia="zh-CN"/>
        </w:rPr>
        <w:t>参照《健康家庭建设指南（试行）》，面向全国各省（自治区、直辖市)、计划单列市和新疆生产建设兵团的广大家庭，征集符合“健康家庭”条件的典型案例。案例应在某一个方面具有突出的典型示范性，包括但不限于以下</w:t>
      </w:r>
      <w:r>
        <w:rPr>
          <w:rFonts w:hint="eastAsia" w:ascii="仿宋_GB2312" w:hAnsi="PingFangSC-light" w:eastAsia="仿宋_GB2312"/>
          <w:b w:val="0"/>
          <w:bCs w:val="0"/>
          <w:color w:val="222222"/>
          <w:sz w:val="32"/>
          <w:szCs w:val="32"/>
          <w:lang w:val="en-US" w:eastAsia="zh-CN"/>
        </w:rPr>
        <w:t>三</w:t>
      </w:r>
      <w:r>
        <w:rPr>
          <w:rFonts w:hint="eastAsia" w:ascii="仿宋_GB2312" w:hAnsi="PingFangSC-light" w:eastAsia="仿宋_GB2312"/>
          <w:b w:val="0"/>
          <w:bCs w:val="0"/>
          <w:color w:val="222222"/>
          <w:sz w:val="32"/>
          <w:szCs w:val="32"/>
          <w:lang w:eastAsia="zh-CN"/>
        </w:rPr>
        <w:t>类：</w:t>
      </w:r>
    </w:p>
    <w:p w14:paraId="706E841F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hint="default" w:ascii="仿宋_GB2312" w:hAnsi="PingFangSC-light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（一）优生优育类。</w:t>
      </w:r>
      <w:r>
        <w:rPr>
          <w:rFonts w:hint="eastAsia" w:ascii="仿宋_GB2312" w:hAnsi="PingFangSC-light" w:eastAsia="仿宋_GB2312" w:cs="宋体"/>
          <w:color w:val="222222"/>
          <w:kern w:val="0"/>
          <w:sz w:val="32"/>
          <w:szCs w:val="32"/>
          <w:lang w:val="en-US" w:eastAsia="zh-CN" w:bidi="ar-SA"/>
        </w:rPr>
        <w:t>具有积极的婚恋观、生育观、家庭观，尊重生育的社会价值，认同适龄婚育、优生优育、性别平等、责任共担、代际和谐的新时代婚育文化，家庭成员做到科学备孕、孕期保健、科学养育、多孩照护和成长陪伴，关注婴幼儿早期发展，正确认识托育、养成送托习惯，讲好新时代中国家庭的幸福婚育故事。</w:t>
      </w:r>
    </w:p>
    <w:p w14:paraId="68B2A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PingFangSC-light" w:eastAsia="仿宋_GB2312" w:cs="宋体"/>
          <w:b w:val="0"/>
          <w:bCs w:val="0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（二）健康体重类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PingFangSC-light" w:eastAsia="仿宋_GB2312" w:cs="宋体"/>
          <w:b w:val="0"/>
          <w:bCs w:val="0"/>
          <w:color w:val="222222"/>
          <w:kern w:val="0"/>
          <w:sz w:val="32"/>
          <w:szCs w:val="32"/>
          <w:lang w:val="en-US" w:eastAsia="zh-CN" w:bidi="ar-SA"/>
        </w:rPr>
        <w:t>将健康体重作为家庭生活新理念，做到“三知一管”（即知晓健康体重标准、知晓自身体重变化、知晓体重管理方法，科学管理自身体重）。家庭配置体重秤、腰围尺、控油壶、控盐勺等多种健康辅助工具，家庭成员定期测量体重，相互提示和监督，掌握科学烹饪技巧，注重中医饮食养生，践行吃动平衡、三减三健等健康理念，讲好新时代中国家庭的体重管理故事。</w:t>
      </w:r>
    </w:p>
    <w:p w14:paraId="4BC8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仿宋_GB2312" w:hAnsi="PingFangSC-light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（三）心理健康类。</w:t>
      </w:r>
      <w:r>
        <w:rPr>
          <w:rFonts w:hint="eastAsia" w:ascii="仿宋_GB2312" w:hAnsi="PingFangSC-light" w:eastAsia="仿宋_GB2312" w:cs="宋体"/>
          <w:color w:val="222222"/>
          <w:kern w:val="0"/>
          <w:sz w:val="32"/>
          <w:szCs w:val="32"/>
          <w:lang w:val="en-US" w:eastAsia="zh-CN" w:bidi="ar-SA"/>
        </w:rPr>
        <w:t>传承尊老爱幼、夫妻和睦、邻里互助等优良传统，树立修身齐家、孝悌和睦、代际传承的家庭价值观，重视子女家庭教育，保持积极健康的情绪，</w:t>
      </w:r>
      <w:r>
        <w:rPr>
          <w:rFonts w:hint="eastAsia" w:ascii="仿宋_GB2312" w:hAnsi="PingFangSC-light" w:eastAsia="仿宋_GB2312" w:cs="宋体"/>
          <w:b w:val="0"/>
          <w:bCs w:val="0"/>
          <w:color w:val="222222"/>
          <w:kern w:val="0"/>
          <w:sz w:val="32"/>
          <w:szCs w:val="32"/>
          <w:lang w:val="en-US" w:eastAsia="zh-CN" w:bidi="ar-SA"/>
        </w:rPr>
        <w:t>践行劳逸结合、起居有常、饮食规律的健康生活方式，主动养成良好的睡眠卫生习惯，</w:t>
      </w:r>
      <w:r>
        <w:rPr>
          <w:rFonts w:hint="eastAsia" w:ascii="仿宋_GB2312" w:hAnsi="PingFangSC-light" w:eastAsia="仿宋_GB2312" w:cs="宋体"/>
          <w:color w:val="222222"/>
          <w:kern w:val="0"/>
          <w:sz w:val="32"/>
          <w:szCs w:val="32"/>
          <w:lang w:val="en-US" w:eastAsia="zh-CN" w:bidi="ar-SA"/>
        </w:rPr>
        <w:t>使用科学方法缓解压力、调畅情志，处理好夫妻、父母子女等家庭关系，拥有良好的家庭氛围，讲好新时代中国家庭的和谐心理故事。</w:t>
      </w:r>
    </w:p>
    <w:p w14:paraId="258AF14B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222222"/>
          <w:sz w:val="32"/>
          <w:szCs w:val="32"/>
        </w:rPr>
        <w:t>、</w:t>
      </w:r>
      <w:r>
        <w:rPr>
          <w:rFonts w:hint="eastAsia" w:ascii="黑体" w:hAnsi="黑体" w:eastAsia="黑体" w:cs="黑体"/>
          <w:color w:val="222222"/>
          <w:sz w:val="32"/>
          <w:szCs w:val="32"/>
          <w:lang w:eastAsia="zh-CN"/>
        </w:rPr>
        <w:t>报送</w:t>
      </w:r>
      <w:r>
        <w:rPr>
          <w:rFonts w:hint="eastAsia" w:ascii="黑体" w:hAnsi="黑体" w:eastAsia="黑体" w:cs="黑体"/>
          <w:color w:val="222222"/>
          <w:sz w:val="32"/>
          <w:szCs w:val="32"/>
        </w:rPr>
        <w:t>要求</w:t>
      </w:r>
    </w:p>
    <w:p w14:paraId="4D5BA20A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仿宋_GB2312" w:hAnsi="PingFangSC-light" w:eastAsia="仿宋_GB2312"/>
          <w:color w:val="222222"/>
          <w:sz w:val="32"/>
          <w:szCs w:val="32"/>
        </w:rPr>
      </w:pPr>
      <w:r>
        <w:rPr>
          <w:rFonts w:hint="eastAsia" w:ascii="仿宋_GB2312" w:hAnsi="PingFangSC-light" w:eastAsia="仿宋_GB2312"/>
          <w:color w:val="222222"/>
          <w:sz w:val="32"/>
          <w:szCs w:val="32"/>
        </w:rPr>
        <w:t>各省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（自治区、直辖市）、计划单列市和新疆生产建设兵团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计生协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根据本地健康家庭建设工作情况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，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会同当地活动组织单位以适当形式组织本地区征集工作，并择优推荐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val="en-US" w:eastAsia="zh-CN"/>
        </w:rPr>
        <w:t>30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个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案例至中国计生协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，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其中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val="en-US" w:eastAsia="zh-CN"/>
        </w:rPr>
        <w:t>每类案例不少于4个，且总计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至少包含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1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val="en-US" w:eastAsia="zh-CN"/>
        </w:rPr>
        <w:t>0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个城市案例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和1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val="en-US" w:eastAsia="zh-CN"/>
        </w:rPr>
        <w:t>0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个农村案例。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请于</w:t>
      </w:r>
      <w:r>
        <w:rPr>
          <w:rFonts w:hint="eastAsia" w:ascii="仿宋_GB2312" w:hAnsi="PingFangSC-light" w:eastAsia="仿宋_GB2312"/>
          <w:b/>
          <w:bCs/>
          <w:color w:val="222222"/>
          <w:sz w:val="32"/>
          <w:szCs w:val="32"/>
          <w:lang w:val="en-US" w:eastAsia="zh-CN"/>
        </w:rPr>
        <w:t>8月31日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val="en-US" w:eastAsia="zh-CN"/>
        </w:rPr>
        <w:t>前将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《</w:t>
      </w:r>
      <w:r>
        <w:rPr>
          <w:rFonts w:hint="eastAsia" w:ascii="仿宋_GB2312" w:hAnsi="PingFangSC-light" w:eastAsia="仿宋_GB2312" w:cs="宋体"/>
          <w:b w:val="0"/>
          <w:bCs w:val="0"/>
          <w:color w:val="222222"/>
          <w:sz w:val="32"/>
          <w:szCs w:val="32"/>
        </w:rPr>
        <w:t>“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健康家庭”典型案例征集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推荐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表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》和《</w:t>
      </w:r>
      <w:r>
        <w:rPr>
          <w:rFonts w:hint="eastAsia" w:ascii="仿宋_GB2312" w:hAnsi="PingFangSC-light" w:eastAsia="仿宋_GB2312" w:cs="宋体"/>
          <w:b w:val="0"/>
          <w:bCs w:val="0"/>
          <w:color w:val="222222"/>
          <w:sz w:val="32"/>
          <w:szCs w:val="32"/>
        </w:rPr>
        <w:t>“健康家庭”典型案例报送情况汇总表</w:t>
      </w:r>
      <w:r>
        <w:rPr>
          <w:rFonts w:hint="eastAsia" w:ascii="仿宋_GB2312" w:hAnsi="PingFangSC-light" w:eastAsia="仿宋_GB2312" w:cs="宋体"/>
          <w:b w:val="0"/>
          <w:bCs w:val="0"/>
          <w:color w:val="222222"/>
          <w:sz w:val="32"/>
          <w:szCs w:val="32"/>
          <w:lang w:eastAsia="zh-CN"/>
        </w:rPr>
        <w:t>》（均需加盖公章）扫描件及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案例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电子版材料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制作成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压缩包，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fldChar w:fldCharType="begin"/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instrText xml:space="preserve"> HYPERLINK "mailto:以省份为单位于2024年10月1日前以电子邮件形式发送至发syfz@cfnews.org.cn" </w:instrTex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fldChar w:fldCharType="separate"/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以邮件形式发送至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中国家庭报社汇总（邮箱：</w:t>
      </w:r>
      <w:r>
        <w:rPr>
          <w:rFonts w:hint="eastAsia" w:ascii="仿宋_GB2312" w:hAnsi="PingFangSC-light" w:eastAsia="仿宋_GB2312"/>
          <w:color w:val="222222"/>
          <w:sz w:val="32"/>
          <w:szCs w:val="32"/>
          <w:highlight w:val="none"/>
          <w:lang w:val="en-US" w:eastAsia="zh-CN"/>
        </w:rPr>
        <w:t>jkcjhdzj@cfnews.org.cn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fldChar w:fldCharType="end"/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）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，邮件主题为“健康家庭+省份名称+案例数量”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，中国计生协将联合主办单位组织评审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。</w:t>
      </w:r>
    </w:p>
    <w:p w14:paraId="79D3D618">
      <w:pPr>
        <w:pStyle w:val="4"/>
        <w:keepNext w:val="0"/>
        <w:keepLines w:val="0"/>
        <w:pageBreakBefore w:val="0"/>
        <w:widowControl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仿宋_GB2312" w:hAnsi="PingFangSC-light" w:eastAsia="仿宋_GB2312"/>
          <w:color w:val="222222"/>
          <w:sz w:val="32"/>
          <w:szCs w:val="32"/>
        </w:rPr>
      </w:pPr>
      <w:r>
        <w:rPr>
          <w:rFonts w:hint="eastAsia" w:ascii="仿宋_GB2312" w:hAnsi="PingFangSC-light" w:eastAsia="仿宋_GB2312"/>
          <w:color w:val="222222"/>
          <w:sz w:val="32"/>
          <w:szCs w:val="32"/>
          <w:lang w:eastAsia="zh-CN"/>
        </w:rPr>
        <w:t>推荐案例电子版材料应以Word文档形式提交，字数控制在1500字以内，并配图片或视频（图片单张大小在5M以上，附文字说明；视频声音、图像清晰，时长控制在3分钟内，编码格式为MP4或MOV，横屏分辨率不低于1920x1080）</w:t>
      </w:r>
      <w:r>
        <w:rPr>
          <w:rFonts w:hint="eastAsia" w:ascii="仿宋_GB2312" w:hAnsi="PingFangSC-light" w:eastAsia="仿宋_GB2312"/>
          <w:color w:val="222222"/>
          <w:sz w:val="32"/>
          <w:szCs w:val="32"/>
        </w:rPr>
        <w:t>。</w:t>
      </w:r>
    </w:p>
    <w:p w14:paraId="26162556">
      <w:pPr>
        <w:pStyle w:val="4"/>
        <w:keepNext w:val="0"/>
        <w:keepLines w:val="0"/>
        <w:pageBreakBefore w:val="0"/>
        <w:shd w:val="clear" w:color="auto" w:fill="FFFFFF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222222"/>
          <w:sz w:val="32"/>
          <w:szCs w:val="32"/>
        </w:rPr>
        <w:t>、案例</w:t>
      </w:r>
      <w:r>
        <w:rPr>
          <w:rFonts w:hint="eastAsia" w:ascii="黑体" w:hAnsi="黑体" w:eastAsia="黑体" w:cs="黑体"/>
          <w:color w:val="222222"/>
          <w:sz w:val="32"/>
          <w:szCs w:val="32"/>
          <w:lang w:eastAsia="zh-CN"/>
        </w:rPr>
        <w:t>评选</w:t>
      </w:r>
      <w:r>
        <w:rPr>
          <w:rFonts w:hint="eastAsia" w:ascii="黑体" w:hAnsi="黑体" w:eastAsia="黑体" w:cs="黑体"/>
          <w:color w:val="222222"/>
          <w:sz w:val="32"/>
          <w:szCs w:val="32"/>
        </w:rPr>
        <w:t>及宣传</w:t>
      </w:r>
    </w:p>
    <w:p w14:paraId="2BD02B89">
      <w:pPr>
        <w:pStyle w:val="4"/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PingFangSC-light" w:eastAsia="仿宋_GB2312" w:cs="宋体"/>
          <w:color w:val="222222"/>
          <w:kern w:val="0"/>
          <w:sz w:val="32"/>
          <w:szCs w:val="32"/>
        </w:rPr>
        <w:t>中国计生协将联合各主办单位</w:t>
      </w:r>
      <w:r>
        <w:rPr>
          <w:rFonts w:hint="eastAsia" w:ascii="仿宋_GB2312" w:hAnsi="PingFangSC-light" w:eastAsia="仿宋_GB2312"/>
          <w:color w:val="222222"/>
          <w:sz w:val="32"/>
          <w:szCs w:val="32"/>
          <w:lang w:val="en-US" w:eastAsia="zh-CN"/>
        </w:rPr>
        <w:t>邀请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相关领域专家对各省报送的案例进行评审，确定活动典型案例并予以表扬。典型案例将通过媒体渠道进行宣传推广，部分“健康家庭”代表将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受邀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参加有关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全国性活动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进行现场分享。</w:t>
      </w:r>
    </w:p>
    <w:p w14:paraId="00A6C380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“健康家庭”典型案例征集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 w14:paraId="08CF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5"/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1540"/>
        <w:gridCol w:w="1413"/>
        <w:gridCol w:w="1518"/>
        <w:gridCol w:w="1326"/>
        <w:gridCol w:w="993"/>
        <w:gridCol w:w="1418"/>
      </w:tblGrid>
      <w:tr w14:paraId="4F9776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AEC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报送类别</w:t>
            </w:r>
          </w:p>
        </w:tc>
        <w:tc>
          <w:tcPr>
            <w:tcW w:w="3680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7F4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优生优育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类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健康体重类</w:t>
            </w:r>
          </w:p>
          <w:p w14:paraId="2688357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心理健康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类        </w:t>
            </w:r>
          </w:p>
        </w:tc>
      </w:tr>
      <w:tr w14:paraId="509B77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319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FB3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推荐单位</w:t>
            </w:r>
          </w:p>
          <w:p w14:paraId="4486857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和职务</w:t>
            </w:r>
          </w:p>
        </w:tc>
        <w:tc>
          <w:tcPr>
            <w:tcW w:w="368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97D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A1FFD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31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BDF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82B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8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552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推荐家庭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文明</w:t>
            </w:r>
          </w:p>
          <w:p w14:paraId="2432826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诚信守法情况</w:t>
            </w:r>
          </w:p>
        </w:tc>
        <w:tc>
          <w:tcPr>
            <w:tcW w:w="7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947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72D5F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31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F75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368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AFC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（精确到门牌号）</w:t>
            </w:r>
          </w:p>
        </w:tc>
      </w:tr>
      <w:tr w14:paraId="0F3988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A61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50" w:after="5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报送案例家庭信息登记</w:t>
            </w:r>
          </w:p>
        </w:tc>
      </w:tr>
      <w:tr w14:paraId="52750E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31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1CC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家庭代表姓名</w:t>
            </w:r>
          </w:p>
        </w:tc>
        <w:tc>
          <w:tcPr>
            <w:tcW w:w="7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25D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AC8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1DE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F7E3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7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B79F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B557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31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87F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家庭人口数</w:t>
            </w:r>
          </w:p>
        </w:tc>
        <w:tc>
          <w:tcPr>
            <w:tcW w:w="7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7B6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A71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40C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29AA7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1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60B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368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3F4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（精确到门牌号）</w:t>
            </w:r>
          </w:p>
        </w:tc>
      </w:tr>
      <w:tr w14:paraId="4250B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68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146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（含代表）</w:t>
            </w:r>
          </w:p>
        </w:tc>
        <w:tc>
          <w:tcPr>
            <w:tcW w:w="8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6F88D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4E9F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8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BD753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0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4441E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工作单位及职务</w:t>
            </w:r>
          </w:p>
        </w:tc>
      </w:tr>
      <w:tr w14:paraId="2863A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6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E36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663F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AFDF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64942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DA389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E38B2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6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44D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A983A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6DC1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C09C4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9EE3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E8D0C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46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574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0A6A9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0D45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9761E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7DB4C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7F4DB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6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AAF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BDB9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65A7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12782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E7D2F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C3719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45" w:hRule="atLeast"/>
          <w:jc w:val="center"/>
        </w:trPr>
        <w:tc>
          <w:tcPr>
            <w:tcW w:w="468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685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A74FE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24A40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F46F8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A020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4EA8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31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E38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“健康家庭”</w:t>
            </w:r>
          </w:p>
          <w:p w14:paraId="4C8A87E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口号</w:t>
            </w:r>
          </w:p>
        </w:tc>
        <w:tc>
          <w:tcPr>
            <w:tcW w:w="368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A16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50" w:after="5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30E06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9" w:hRule="atLeast"/>
          <w:jc w:val="center"/>
        </w:trPr>
        <w:tc>
          <w:tcPr>
            <w:tcW w:w="131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467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“健康家庭”</w:t>
            </w:r>
          </w:p>
          <w:p w14:paraId="6CFFA8B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介绍</w:t>
            </w:r>
          </w:p>
        </w:tc>
        <w:tc>
          <w:tcPr>
            <w:tcW w:w="368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C54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50" w:after="5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（1500字以内，可另附页）</w:t>
            </w:r>
          </w:p>
        </w:tc>
      </w:tr>
      <w:tr w14:paraId="457341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482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50" w:after="5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推荐单位（盖章）：</w:t>
            </w:r>
          </w:p>
        </w:tc>
      </w:tr>
    </w:tbl>
    <w:p w14:paraId="6B4F114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0"/>
        <w:textAlignment w:val="baseline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报送提示：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“健康家庭”案例如通过推荐单位统一报送的，相关图片、视频等资料须征得被推荐家庭同意，报送资料必须为被推荐家庭的真实资料，如侵犯肖像权、名誉权、隐私权、著作权、商标权及其他创作权益等，涉及法律责任由报送单位承担。案例提交即视为报送单位授权主办方对报送案例及其相关图片、视频等资料进行相关形式的推广使用，包括但不限于在广播、网络、手机、电视等各信息网络终端。</w:t>
      </w:r>
    </w:p>
    <w:p w14:paraId="334D806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“健康家庭”典型案例报送情况汇总表</w:t>
      </w:r>
    </w:p>
    <w:p w14:paraId="7613C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337"/>
        <w:gridCol w:w="1756"/>
        <w:gridCol w:w="3285"/>
      </w:tblGrid>
      <w:tr w14:paraId="25AE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28" w:type="pct"/>
            <w:noWrap w:val="0"/>
            <w:vAlign w:val="center"/>
          </w:tcPr>
          <w:p w14:paraId="409B5D1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报送省份</w:t>
            </w:r>
          </w:p>
        </w:tc>
        <w:tc>
          <w:tcPr>
            <w:tcW w:w="4071" w:type="pct"/>
            <w:gridSpan w:val="3"/>
            <w:noWrap w:val="0"/>
            <w:vAlign w:val="center"/>
          </w:tcPr>
          <w:p w14:paraId="7F82D14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（报送省份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计生协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盖章）</w:t>
            </w:r>
          </w:p>
        </w:tc>
      </w:tr>
      <w:tr w14:paraId="3AAD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8" w:type="pct"/>
            <w:noWrap w:val="0"/>
            <w:vAlign w:val="center"/>
          </w:tcPr>
          <w:p w14:paraId="3B6BD35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4071" w:type="pct"/>
            <w:gridSpan w:val="3"/>
            <w:noWrap w:val="0"/>
            <w:vAlign w:val="center"/>
          </w:tcPr>
          <w:p w14:paraId="30A6D5F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42D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28" w:type="pct"/>
            <w:noWrap w:val="0"/>
            <w:vAlign w:val="center"/>
          </w:tcPr>
          <w:p w14:paraId="7F2C6E1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071" w:type="pct"/>
            <w:gridSpan w:val="3"/>
            <w:noWrap w:val="0"/>
            <w:vAlign w:val="center"/>
          </w:tcPr>
          <w:p w14:paraId="7478DAC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DBD4E8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984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000" w:type="pct"/>
            <w:gridSpan w:val="4"/>
            <w:noWrap w:val="0"/>
            <w:vAlign w:val="center"/>
          </w:tcPr>
          <w:p w14:paraId="6ADCE1A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报送作品汇总表</w:t>
            </w:r>
          </w:p>
        </w:tc>
      </w:tr>
      <w:tr w14:paraId="64FD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pct"/>
            <w:noWrap w:val="0"/>
            <w:vAlign w:val="center"/>
          </w:tcPr>
          <w:p w14:paraId="1F6FF09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90" w:type="pct"/>
            <w:noWrap w:val="0"/>
            <w:vAlign w:val="center"/>
          </w:tcPr>
          <w:p w14:paraId="1887584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案例名称</w:t>
            </w:r>
          </w:p>
        </w:tc>
        <w:tc>
          <w:tcPr>
            <w:tcW w:w="969" w:type="pct"/>
            <w:noWrap w:val="0"/>
            <w:vAlign w:val="center"/>
          </w:tcPr>
          <w:p w14:paraId="5F5C6C6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案例类别</w:t>
            </w:r>
          </w:p>
        </w:tc>
        <w:tc>
          <w:tcPr>
            <w:tcW w:w="1811" w:type="pct"/>
            <w:noWrap w:val="0"/>
            <w:vAlign w:val="center"/>
          </w:tcPr>
          <w:p w14:paraId="7FACA34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地区</w:t>
            </w:r>
          </w:p>
          <w:p w14:paraId="7996EEB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注明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城市/农村）</w:t>
            </w:r>
          </w:p>
        </w:tc>
      </w:tr>
      <w:tr w14:paraId="62AF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28" w:type="pct"/>
            <w:noWrap w:val="0"/>
            <w:vAlign w:val="center"/>
          </w:tcPr>
          <w:p w14:paraId="3E3D446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90" w:type="pct"/>
            <w:noWrap w:val="0"/>
            <w:vAlign w:val="center"/>
          </w:tcPr>
          <w:p w14:paraId="2E1FFF0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9" w:type="pct"/>
            <w:noWrap w:val="0"/>
            <w:vAlign w:val="center"/>
          </w:tcPr>
          <w:p w14:paraId="0E28E7E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1" w:type="pct"/>
            <w:noWrap w:val="0"/>
            <w:vAlign w:val="center"/>
          </w:tcPr>
          <w:p w14:paraId="677BE84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AA2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928" w:type="pct"/>
            <w:noWrap w:val="0"/>
            <w:vAlign w:val="center"/>
          </w:tcPr>
          <w:p w14:paraId="5C4D5CA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90" w:type="pct"/>
            <w:noWrap w:val="0"/>
            <w:vAlign w:val="center"/>
          </w:tcPr>
          <w:p w14:paraId="0E1A1C3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9" w:type="pct"/>
            <w:noWrap w:val="0"/>
            <w:vAlign w:val="center"/>
          </w:tcPr>
          <w:p w14:paraId="7631880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1" w:type="pct"/>
            <w:noWrap w:val="0"/>
            <w:vAlign w:val="center"/>
          </w:tcPr>
          <w:p w14:paraId="2ECB834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F9C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28" w:type="pct"/>
            <w:noWrap w:val="0"/>
            <w:vAlign w:val="center"/>
          </w:tcPr>
          <w:p w14:paraId="23CB044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290" w:type="pct"/>
            <w:noWrap w:val="0"/>
            <w:vAlign w:val="center"/>
          </w:tcPr>
          <w:p w14:paraId="496FC4F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9" w:type="pct"/>
            <w:noWrap w:val="0"/>
            <w:vAlign w:val="center"/>
          </w:tcPr>
          <w:p w14:paraId="29AFC00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1" w:type="pct"/>
            <w:noWrap w:val="0"/>
            <w:vAlign w:val="center"/>
          </w:tcPr>
          <w:p w14:paraId="1105A93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5B6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28" w:type="pct"/>
            <w:noWrap w:val="0"/>
            <w:vAlign w:val="center"/>
          </w:tcPr>
          <w:p w14:paraId="2F9DD04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290" w:type="pct"/>
            <w:noWrap w:val="0"/>
            <w:vAlign w:val="center"/>
          </w:tcPr>
          <w:p w14:paraId="3390523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9" w:type="pct"/>
            <w:noWrap w:val="0"/>
            <w:vAlign w:val="center"/>
          </w:tcPr>
          <w:p w14:paraId="31A4EA46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1" w:type="pct"/>
            <w:noWrap w:val="0"/>
            <w:vAlign w:val="center"/>
          </w:tcPr>
          <w:p w14:paraId="299F539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20F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28" w:type="pct"/>
            <w:noWrap w:val="0"/>
            <w:vAlign w:val="center"/>
          </w:tcPr>
          <w:p w14:paraId="5030C992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290" w:type="pct"/>
            <w:noWrap w:val="0"/>
            <w:vAlign w:val="center"/>
          </w:tcPr>
          <w:p w14:paraId="5932DA3F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9" w:type="pct"/>
            <w:noWrap w:val="0"/>
            <w:vAlign w:val="center"/>
          </w:tcPr>
          <w:p w14:paraId="7CBDFEC4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1" w:type="pct"/>
            <w:noWrap w:val="0"/>
            <w:vAlign w:val="center"/>
          </w:tcPr>
          <w:p w14:paraId="06A5847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51F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28" w:type="pct"/>
            <w:noWrap w:val="0"/>
            <w:vAlign w:val="center"/>
          </w:tcPr>
          <w:p w14:paraId="700AAC37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290" w:type="pct"/>
            <w:noWrap w:val="0"/>
            <w:vAlign w:val="center"/>
          </w:tcPr>
          <w:p w14:paraId="3994F9C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69" w:type="pct"/>
            <w:noWrap w:val="0"/>
            <w:vAlign w:val="center"/>
          </w:tcPr>
          <w:p w14:paraId="3A8F6CA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1" w:type="pct"/>
            <w:noWrap w:val="0"/>
            <w:vAlign w:val="center"/>
          </w:tcPr>
          <w:p w14:paraId="353F130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31D2180B"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389" w:gutter="0"/>
      <w:lnNumType w:countBy="0" w:restart="continuous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964714-280C-4316-9491-3CEDB8DC34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8CCC99-CD1D-4A03-835F-330C51BF63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A87D2EE-2B89-4C84-AE4E-F1DCB01492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63F5FDB-B1C8-43F5-BC3E-057ABF009C5B}"/>
  </w:font>
  <w:font w:name="PingFangSC-light">
    <w:altName w:val="方正公文黑体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7D01BB3F-5DF5-4379-9E1A-A818ADC51029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A085032-EC57-4023-96F0-CCB8A8AE32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CFB0BEC1-A59D-496E-BEF2-5F53A9973525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46936">
    <w:pPr>
      <w:pStyle w:val="2"/>
      <w:wordWrap w:val="0"/>
      <w:bidi/>
      <w:spacing w:line="240" w:lineRule="auto"/>
      <w:ind w:left="0" w:right="0" w:firstLine="280" w:firstLineChars="100"/>
      <w:rPr>
        <w:rFonts w:hint="eastAsia" w:ascii="楷体_GB2312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6EA3">
    <w:pPr>
      <w:pStyle w:val="2"/>
      <w:spacing w:line="240" w:lineRule="auto"/>
      <w:ind w:firstLine="280" w:firstLineChars="100"/>
      <w:jc w:val="left"/>
      <w:rPr>
        <w:rStyle w:val="8"/>
        <w:rFonts w:hint="eastAsia"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>—</w:t>
    </w:r>
    <w:r>
      <w:rPr>
        <w:rStyle w:val="8"/>
        <w:rFonts w:hint="eastAsia" w:ascii="宋体" w:hAnsi="宋体" w:eastAsia="宋体" w:cs="宋体"/>
        <w:sz w:val="28"/>
      </w:rPr>
      <w:t xml:space="preserve">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8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8"/>
        <w:rFonts w:ascii="宋体" w:hAnsi="宋体" w:eastAsia="宋体" w:cs="宋体"/>
        <w:sz w:val="28"/>
      </w:rPr>
      <w:t>4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xZDJiOGNlYTVmM2VhZTNmMjlhNTAzZGQwMGE2ZmQifQ=="/>
  </w:docVars>
  <w:rsids>
    <w:rsidRoot w:val="EEF66568"/>
    <w:rsid w:val="15BFCA2A"/>
    <w:rsid w:val="17E3F288"/>
    <w:rsid w:val="1AF87834"/>
    <w:rsid w:val="38EB5035"/>
    <w:rsid w:val="39205314"/>
    <w:rsid w:val="3DDF7C1E"/>
    <w:rsid w:val="3EDB52B9"/>
    <w:rsid w:val="3FC6799C"/>
    <w:rsid w:val="475164B2"/>
    <w:rsid w:val="59DF4BD2"/>
    <w:rsid w:val="5BD462C2"/>
    <w:rsid w:val="5F67890B"/>
    <w:rsid w:val="5F7FDDB7"/>
    <w:rsid w:val="6B66C661"/>
    <w:rsid w:val="6E6B063A"/>
    <w:rsid w:val="6F65F6C2"/>
    <w:rsid w:val="777BDA7A"/>
    <w:rsid w:val="777DC83B"/>
    <w:rsid w:val="77E55995"/>
    <w:rsid w:val="7BFFFD76"/>
    <w:rsid w:val="7E77A5E6"/>
    <w:rsid w:val="7FDFC611"/>
    <w:rsid w:val="7FEDAB60"/>
    <w:rsid w:val="7FFF8222"/>
    <w:rsid w:val="7FFFE7DB"/>
    <w:rsid w:val="829B76AA"/>
    <w:rsid w:val="93F71C27"/>
    <w:rsid w:val="BA7B23C6"/>
    <w:rsid w:val="BF071CE0"/>
    <w:rsid w:val="BFAFD5A7"/>
    <w:rsid w:val="D1F97C61"/>
    <w:rsid w:val="D7AD8C84"/>
    <w:rsid w:val="EDEF2328"/>
    <w:rsid w:val="EEF66568"/>
    <w:rsid w:val="F7F10F69"/>
    <w:rsid w:val="FBFF0FC5"/>
    <w:rsid w:val="FF4F2D17"/>
    <w:rsid w:val="FFCB5898"/>
    <w:rsid w:val="FFE7BC4A"/>
    <w:rsid w:val="FFFD6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3663</Words>
  <Characters>3763</Characters>
  <Lines>0</Lines>
  <Paragraphs>0</Paragraphs>
  <TotalTime>57</TotalTime>
  <ScaleCrop>false</ScaleCrop>
  <LinksUpToDate>false</LinksUpToDate>
  <CharactersWithSpaces>3786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2021-01-01T14:55:00Z</dcterms:created>
  <dc:creator>管理员</dc:creator>
  <cp:lastModifiedBy>Man.</cp:lastModifiedBy>
  <cp:lastPrinted>2025-04-12T15:12:00Z</cp:lastPrinted>
  <dcterms:modified xsi:type="dcterms:W3CDTF">2025-07-02T06:54:32Z</dcterms:modified>
  <dc:title>中国计划生育协会文件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CD989D849F424CA4B56CB191F5A9E41D_13</vt:lpwstr>
  </property>
  <property fmtid="{D5CDD505-2E9C-101B-9397-08002B2CF9AE}" pid="4" name="KSOTemplateDocerSaveRecord">
    <vt:lpwstr>eyJoZGlkIjoiMzI1ZmZhYTVjMmE5MzQ2MmU1Mzc0NzY0YzgxYTc3NDkiLCJ1c2VySWQiOiIxMDAwODE5MjM4In0=</vt:lpwstr>
  </property>
</Properties>
</file>